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08CEC" w14:textId="77777777" w:rsidR="006E6CCD" w:rsidRDefault="00000000">
      <w:pPr>
        <w:tabs>
          <w:tab w:val="left" w:pos="1701"/>
          <w:tab w:val="right" w:pos="9639"/>
        </w:tabs>
        <w:spacing w:line="288" w:lineRule="auto"/>
        <w:rPr>
          <w:b/>
          <w:sz w:val="24"/>
          <w:szCs w:val="24"/>
        </w:rPr>
      </w:pPr>
      <w:r>
        <w:rPr>
          <w:b/>
          <w:sz w:val="24"/>
          <w:szCs w:val="24"/>
        </w:rPr>
        <w:t xml:space="preserve">3GPP TSG-RAN WG2 Meeting #122                                                           </w:t>
      </w:r>
      <w:r>
        <w:rPr>
          <w:b/>
          <w:color w:val="808080"/>
          <w:sz w:val="26"/>
          <w:szCs w:val="26"/>
        </w:rPr>
        <w:t>R2-2306393</w:t>
      </w:r>
    </w:p>
    <w:p w14:paraId="1B3B2482" w14:textId="77777777" w:rsidR="006E6CCD" w:rsidRDefault="00000000">
      <w:pPr>
        <w:tabs>
          <w:tab w:val="left" w:pos="1701"/>
          <w:tab w:val="right" w:pos="9639"/>
        </w:tabs>
        <w:spacing w:line="288" w:lineRule="auto"/>
        <w:rPr>
          <w:b/>
          <w:sz w:val="24"/>
          <w:szCs w:val="24"/>
        </w:rPr>
      </w:pPr>
      <w:bookmarkStart w:id="0" w:name="_heading=h.30j0zll" w:colFirst="0" w:colLast="0"/>
      <w:bookmarkEnd w:id="0"/>
      <w:r>
        <w:rPr>
          <w:b/>
          <w:sz w:val="24"/>
          <w:szCs w:val="24"/>
        </w:rPr>
        <w:t>Incheon, Korea, 22– 26 May 2023</w:t>
      </w:r>
    </w:p>
    <w:p w14:paraId="46F462D9" w14:textId="77777777" w:rsidR="006E6CCD" w:rsidRDefault="00000000">
      <w:pPr>
        <w:tabs>
          <w:tab w:val="left" w:pos="1701"/>
          <w:tab w:val="right" w:pos="9639"/>
        </w:tabs>
        <w:spacing w:line="288" w:lineRule="auto"/>
        <w:rPr>
          <w:b/>
          <w:sz w:val="24"/>
          <w:szCs w:val="24"/>
        </w:rPr>
      </w:pPr>
      <w:r>
        <w:rPr>
          <w:b/>
          <w:sz w:val="24"/>
          <w:szCs w:val="24"/>
        </w:rPr>
        <w:tab/>
      </w:r>
    </w:p>
    <w:p w14:paraId="2880ED95" w14:textId="77777777" w:rsidR="006E6CCD" w:rsidRDefault="00000000">
      <w:pPr>
        <w:tabs>
          <w:tab w:val="left" w:pos="1701"/>
          <w:tab w:val="right" w:pos="9639"/>
        </w:tabs>
        <w:spacing w:after="60" w:line="288" w:lineRule="auto"/>
        <w:rPr>
          <w:b/>
          <w:sz w:val="24"/>
          <w:szCs w:val="24"/>
        </w:rPr>
      </w:pPr>
      <w:r>
        <w:rPr>
          <w:b/>
          <w:sz w:val="24"/>
          <w:szCs w:val="24"/>
        </w:rPr>
        <w:t>Agenda Item:</w:t>
      </w:r>
      <w:r>
        <w:rPr>
          <w:b/>
          <w:sz w:val="24"/>
          <w:szCs w:val="24"/>
        </w:rPr>
        <w:tab/>
        <w:t xml:space="preserve">7.5.4.1 </w:t>
      </w:r>
    </w:p>
    <w:p w14:paraId="7527434B" w14:textId="77777777" w:rsidR="006E6CCD" w:rsidRDefault="00000000">
      <w:pPr>
        <w:tabs>
          <w:tab w:val="left" w:pos="1701"/>
          <w:tab w:val="right" w:pos="9639"/>
        </w:tabs>
        <w:spacing w:after="60" w:line="288" w:lineRule="auto"/>
        <w:rPr>
          <w:b/>
          <w:sz w:val="24"/>
          <w:szCs w:val="24"/>
        </w:rPr>
      </w:pPr>
      <w:r>
        <w:rPr>
          <w:b/>
          <w:sz w:val="24"/>
          <w:szCs w:val="24"/>
        </w:rPr>
        <w:t xml:space="preserve">Source: </w:t>
      </w:r>
      <w:r>
        <w:rPr>
          <w:b/>
          <w:sz w:val="24"/>
          <w:szCs w:val="24"/>
        </w:rPr>
        <w:tab/>
        <w:t>Meta</w:t>
      </w:r>
    </w:p>
    <w:p w14:paraId="7E4D9019" w14:textId="77777777" w:rsidR="006E6CCD" w:rsidRDefault="00000000">
      <w:pPr>
        <w:tabs>
          <w:tab w:val="left" w:pos="1701"/>
          <w:tab w:val="right" w:pos="9639"/>
        </w:tabs>
        <w:spacing w:after="60" w:line="288" w:lineRule="auto"/>
        <w:rPr>
          <w:b/>
          <w:sz w:val="24"/>
          <w:szCs w:val="24"/>
        </w:rPr>
      </w:pPr>
      <w:r>
        <w:rPr>
          <w:b/>
          <w:sz w:val="24"/>
          <w:szCs w:val="24"/>
        </w:rPr>
        <w:t xml:space="preserve">Title:  </w:t>
      </w:r>
      <w:r>
        <w:rPr>
          <w:b/>
          <w:sz w:val="24"/>
          <w:szCs w:val="24"/>
        </w:rPr>
        <w:tab/>
        <w:t>XR BSR and Delay Information Enhancements</w:t>
      </w:r>
    </w:p>
    <w:p w14:paraId="009E1907" w14:textId="77777777" w:rsidR="006E6CCD" w:rsidRDefault="00000000">
      <w:pPr>
        <w:tabs>
          <w:tab w:val="left" w:pos="1701"/>
          <w:tab w:val="right" w:pos="9639"/>
        </w:tabs>
        <w:spacing w:after="60" w:line="288" w:lineRule="auto"/>
        <w:rPr>
          <w:b/>
          <w:sz w:val="24"/>
          <w:szCs w:val="24"/>
        </w:rPr>
      </w:pPr>
      <w:r>
        <w:rPr>
          <w:b/>
          <w:sz w:val="24"/>
          <w:szCs w:val="24"/>
        </w:rPr>
        <w:t>Document for:</w:t>
      </w:r>
      <w:r>
        <w:rPr>
          <w:b/>
          <w:sz w:val="24"/>
          <w:szCs w:val="24"/>
        </w:rPr>
        <w:tab/>
        <w:t>Discussion and Decision</w:t>
      </w:r>
    </w:p>
    <w:p w14:paraId="4C32E474" w14:textId="77777777" w:rsidR="006E6CCD" w:rsidRDefault="00000000">
      <w:pPr>
        <w:pStyle w:val="Heading1"/>
        <w:numPr>
          <w:ilvl w:val="0"/>
          <w:numId w:val="1"/>
        </w:numPr>
        <w:pBdr>
          <w:top w:val="single" w:sz="12" w:space="3" w:color="000000"/>
        </w:pBdr>
        <w:spacing w:before="240" w:after="180" w:line="240" w:lineRule="auto"/>
        <w:rPr>
          <w:sz w:val="30"/>
          <w:szCs w:val="30"/>
        </w:rPr>
      </w:pPr>
      <w:bookmarkStart w:id="1" w:name="_heading=h.1fob9te" w:colFirst="0" w:colLast="0"/>
      <w:bookmarkEnd w:id="1"/>
      <w:r>
        <w:rPr>
          <w:b/>
          <w:sz w:val="30"/>
          <w:szCs w:val="30"/>
        </w:rPr>
        <w:t>Introduction</w:t>
      </w:r>
    </w:p>
    <w:p w14:paraId="577317D9" w14:textId="77777777" w:rsidR="006E6CCD" w:rsidRDefault="00000000">
      <w:pPr>
        <w:tabs>
          <w:tab w:val="center" w:pos="4536"/>
          <w:tab w:val="right" w:pos="9072"/>
          <w:tab w:val="left" w:pos="1800"/>
        </w:tabs>
        <w:spacing w:line="240" w:lineRule="auto"/>
        <w:rPr>
          <w:sz w:val="20"/>
          <w:szCs w:val="20"/>
        </w:rPr>
      </w:pPr>
      <w:r>
        <w:rPr>
          <w:sz w:val="20"/>
          <w:szCs w:val="20"/>
        </w:rPr>
        <w:t xml:space="preserve">In this contribution, we discuss the following two topics related to the capacity improvements for XR traffic. </w:t>
      </w:r>
    </w:p>
    <w:p w14:paraId="7566BFBD" w14:textId="77777777" w:rsidR="006E6CCD" w:rsidRDefault="006E6CCD">
      <w:pPr>
        <w:tabs>
          <w:tab w:val="center" w:pos="4536"/>
          <w:tab w:val="right" w:pos="9072"/>
          <w:tab w:val="left" w:pos="1800"/>
        </w:tabs>
        <w:spacing w:line="240" w:lineRule="auto"/>
        <w:rPr>
          <w:sz w:val="20"/>
          <w:szCs w:val="20"/>
        </w:rPr>
      </w:pPr>
    </w:p>
    <w:p w14:paraId="01D6A2AF" w14:textId="77777777" w:rsidR="006E6CCD" w:rsidRDefault="006E6CCD">
      <w:pPr>
        <w:tabs>
          <w:tab w:val="center" w:pos="4536"/>
          <w:tab w:val="right" w:pos="9072"/>
          <w:tab w:val="left" w:pos="1800"/>
        </w:tabs>
        <w:spacing w:line="240" w:lineRule="auto"/>
        <w:rPr>
          <w:sz w:val="20"/>
          <w:szCs w:val="20"/>
        </w:rPr>
      </w:pPr>
    </w:p>
    <w:tbl>
      <w:tblPr>
        <w:tblStyle w:val="a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E6CCD" w14:paraId="0090BDE8" w14:textId="77777777">
        <w:tc>
          <w:tcPr>
            <w:tcW w:w="9360" w:type="dxa"/>
            <w:shd w:val="clear" w:color="auto" w:fill="auto"/>
            <w:tcMar>
              <w:top w:w="100" w:type="dxa"/>
              <w:left w:w="100" w:type="dxa"/>
              <w:bottom w:w="100" w:type="dxa"/>
              <w:right w:w="100" w:type="dxa"/>
            </w:tcMar>
          </w:tcPr>
          <w:p w14:paraId="222BD224" w14:textId="77777777" w:rsidR="006E6CCD" w:rsidRDefault="00000000">
            <w:pPr>
              <w:widowControl w:val="0"/>
              <w:spacing w:after="180" w:line="240" w:lineRule="auto"/>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   Buffer Status Report (BSR) enhancements including at least new Buffer Status Table(s) (RAN2);</w:t>
            </w:r>
          </w:p>
          <w:p w14:paraId="06297C43" w14:textId="77777777" w:rsidR="006E6CCD" w:rsidRDefault="00000000">
            <w:pPr>
              <w:widowControl w:val="0"/>
              <w:spacing w:after="180" w:line="240" w:lineRule="auto"/>
              <w:ind w:left="840" w:hanging="280"/>
              <w:rPr>
                <w:sz w:val="20"/>
                <w:szCs w:val="20"/>
              </w:rPr>
            </w:pPr>
            <w:r>
              <w:rPr>
                <w:rFonts w:ascii="Times New Roman" w:eastAsia="Times New Roman" w:hAnsi="Times New Roman" w:cs="Times New Roman"/>
                <w:sz w:val="20"/>
                <w:szCs w:val="20"/>
              </w:rPr>
              <w:t>-   Delay reporting of buffered data in uplink (RAN2);</w:t>
            </w:r>
          </w:p>
        </w:tc>
      </w:tr>
    </w:tbl>
    <w:p w14:paraId="4BD21D29" w14:textId="77777777" w:rsidR="006E6CCD" w:rsidRDefault="00000000">
      <w:pPr>
        <w:tabs>
          <w:tab w:val="center" w:pos="4536"/>
          <w:tab w:val="right" w:pos="9072"/>
          <w:tab w:val="left" w:pos="1800"/>
        </w:tabs>
        <w:spacing w:line="240" w:lineRule="auto"/>
        <w:rPr>
          <w:sz w:val="20"/>
          <w:szCs w:val="20"/>
        </w:rPr>
      </w:pPr>
      <w:r>
        <w:rPr>
          <w:sz w:val="20"/>
          <w:szCs w:val="20"/>
        </w:rPr>
        <w:t>.</w:t>
      </w:r>
    </w:p>
    <w:p w14:paraId="56B58A5B" w14:textId="77777777" w:rsidR="006E6CCD" w:rsidRDefault="00000000">
      <w:pPr>
        <w:tabs>
          <w:tab w:val="center" w:pos="4536"/>
          <w:tab w:val="right" w:pos="9072"/>
          <w:tab w:val="left" w:pos="1800"/>
        </w:tabs>
        <w:spacing w:line="240" w:lineRule="auto"/>
        <w:rPr>
          <w:sz w:val="20"/>
          <w:szCs w:val="20"/>
        </w:rPr>
      </w:pPr>
      <w:r>
        <w:rPr>
          <w:sz w:val="20"/>
          <w:szCs w:val="20"/>
        </w:rPr>
        <w:t>Following the discussion in RAN2#121-bis-e, the following agreements were made:</w:t>
      </w:r>
    </w:p>
    <w:p w14:paraId="0D89AFE9" w14:textId="77777777" w:rsidR="006E6CCD" w:rsidRDefault="006E6CCD">
      <w:pPr>
        <w:tabs>
          <w:tab w:val="center" w:pos="4536"/>
          <w:tab w:val="right" w:pos="9072"/>
          <w:tab w:val="left" w:pos="1800"/>
        </w:tabs>
        <w:spacing w:line="240" w:lineRule="auto"/>
        <w:rPr>
          <w:sz w:val="20"/>
          <w:szCs w:val="20"/>
        </w:rPr>
      </w:pPr>
    </w:p>
    <w:p w14:paraId="762E31DE" w14:textId="77777777" w:rsidR="006E6CCD" w:rsidRDefault="006E6CCD">
      <w:pPr>
        <w:tabs>
          <w:tab w:val="center" w:pos="4536"/>
          <w:tab w:val="right" w:pos="9072"/>
          <w:tab w:val="left" w:pos="1800"/>
        </w:tabs>
        <w:spacing w:line="240" w:lineRule="auto"/>
        <w:rPr>
          <w:sz w:val="20"/>
          <w:szCs w:val="20"/>
        </w:rPr>
      </w:pPr>
    </w:p>
    <w:tbl>
      <w:tblPr>
        <w:tblStyle w:val="a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E6CCD" w14:paraId="47AEC94A" w14:textId="77777777">
        <w:tc>
          <w:tcPr>
            <w:tcW w:w="9360" w:type="dxa"/>
            <w:shd w:val="clear" w:color="auto" w:fill="auto"/>
            <w:tcMar>
              <w:top w:w="100" w:type="dxa"/>
              <w:left w:w="100" w:type="dxa"/>
              <w:bottom w:w="100" w:type="dxa"/>
              <w:right w:w="100" w:type="dxa"/>
            </w:tcMar>
          </w:tcPr>
          <w:p w14:paraId="653C02A3" w14:textId="77777777" w:rsidR="006E6CCD"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rPr>
              <w:t>Support of new BSR table(s) is based on NW configuration and UE capability. FFS whether the UE capability can apply to non-XR UEs.</w:t>
            </w:r>
          </w:p>
          <w:p w14:paraId="4A3E241F" w14:textId="77777777" w:rsidR="006E6CCD"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rPr>
              <w:t xml:space="preserve"> As a working assumption, at most one BS index </w:t>
            </w:r>
            <w:r>
              <w:rPr>
                <w:b/>
                <w:sz w:val="20"/>
                <w:szCs w:val="20"/>
                <w:highlight w:val="yellow"/>
              </w:rPr>
              <w:t>or BS value</w:t>
            </w:r>
            <w:r>
              <w:rPr>
                <w:b/>
                <w:sz w:val="20"/>
                <w:szCs w:val="20"/>
              </w:rPr>
              <w:t xml:space="preserve"> is reported by an LCG. This assumption can be revisited if new BSR table design cannot achieve a target level of quantization error. FFS what this target level should be.</w:t>
            </w:r>
          </w:p>
          <w:p w14:paraId="4CFC8B3C" w14:textId="77777777" w:rsidR="006E6CCD"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rPr>
              <w:t xml:space="preserve">Design/configuration for new BSR table(s) should include support for narrower ranges </w:t>
            </w:r>
            <w:r>
              <w:rPr>
                <w:b/>
                <w:sz w:val="20"/>
                <w:szCs w:val="20"/>
                <w:highlight w:val="yellow"/>
              </w:rPr>
              <w:t>(i.e. finer granularity)</w:t>
            </w:r>
            <w:r>
              <w:rPr>
                <w:b/>
                <w:sz w:val="20"/>
                <w:szCs w:val="20"/>
              </w:rPr>
              <w:t xml:space="preserve"> than the legacy. Details can be discussed after an agreement on how UE obtains new BSR table(s) (e.g. pre-definition vs RRC configuration) is made.</w:t>
            </w:r>
          </w:p>
          <w:p w14:paraId="0F764BB3" w14:textId="77777777" w:rsidR="006E6CCD" w:rsidRDefault="00000000">
            <w:pPr>
              <w:widowControl w:val="0"/>
              <w:spacing w:before="60" w:line="240" w:lineRule="auto"/>
              <w:rPr>
                <w:b/>
                <w:sz w:val="20"/>
                <w:szCs w:val="20"/>
                <w:highlight w:val="yellow"/>
              </w:rPr>
            </w:pPr>
            <w:r>
              <w:t>Þ</w:t>
            </w:r>
            <w:r>
              <w:rPr>
                <w:rFonts w:ascii="Times New Roman" w:eastAsia="Times New Roman" w:hAnsi="Times New Roman" w:cs="Times New Roman"/>
                <w:sz w:val="14"/>
                <w:szCs w:val="14"/>
              </w:rPr>
              <w:tab/>
            </w:r>
            <w:r>
              <w:rPr>
                <w:b/>
                <w:sz w:val="20"/>
                <w:szCs w:val="20"/>
              </w:rPr>
              <w:t xml:space="preserve">At least linear distribution is used for generating code points in new BSR table(s).  FFS whether exponential distribution can be considered too.  </w:t>
            </w:r>
            <w:r>
              <w:rPr>
                <w:b/>
                <w:sz w:val="20"/>
                <w:szCs w:val="20"/>
                <w:highlight w:val="yellow"/>
              </w:rPr>
              <w:t>FFS if piecewise linear distribution is supported.</w:t>
            </w:r>
          </w:p>
          <w:p w14:paraId="4842CFC5" w14:textId="77777777" w:rsidR="006E6CCD"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rPr>
              <w:t>New BSR table(s) can be used by any UEs that support such a capability. However, design of the new BSR table(s) should be based on XR-specific use cases and requirements.</w:t>
            </w:r>
          </w:p>
          <w:p w14:paraId="462985D1" w14:textId="77777777" w:rsidR="006E6CCD" w:rsidRDefault="006E6CCD">
            <w:pPr>
              <w:widowControl w:val="0"/>
              <w:spacing w:before="60" w:line="240" w:lineRule="auto"/>
              <w:rPr>
                <w:b/>
                <w:sz w:val="20"/>
                <w:szCs w:val="20"/>
              </w:rPr>
            </w:pPr>
          </w:p>
          <w:p w14:paraId="41FF872E" w14:textId="77777777" w:rsidR="006E6CCD"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rPr>
              <w:t xml:space="preserve">Network can configure which BSR table(s) an LCG is eligible to use. UE determines which BSR table </w:t>
            </w:r>
            <w:r>
              <w:rPr>
                <w:b/>
                <w:sz w:val="20"/>
                <w:szCs w:val="20"/>
                <w:highlight w:val="yellow"/>
              </w:rPr>
              <w:t>(i.e. legacy or something else)</w:t>
            </w:r>
            <w:r>
              <w:rPr>
                <w:b/>
                <w:sz w:val="20"/>
                <w:szCs w:val="20"/>
              </w:rPr>
              <w:t xml:space="preserve"> the LCG should use. FFS details of this determination </w:t>
            </w:r>
            <w:r>
              <w:rPr>
                <w:b/>
                <w:sz w:val="20"/>
                <w:szCs w:val="20"/>
                <w:highlight w:val="yellow"/>
              </w:rPr>
              <w:t>(e.g. based on buffer size) and how network knows which BSR table each LCG uses</w:t>
            </w:r>
            <w:r>
              <w:rPr>
                <w:b/>
                <w:sz w:val="20"/>
                <w:szCs w:val="20"/>
              </w:rPr>
              <w:t>.</w:t>
            </w:r>
          </w:p>
          <w:p w14:paraId="02F1CAE7" w14:textId="77777777" w:rsidR="006E6CCD"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highlight w:val="yellow"/>
              </w:rPr>
              <w:t>As working assumption (depending on how we create the new BSR table(s) and the MAC CE format),</w:t>
            </w:r>
            <w:r>
              <w:rPr>
                <w:b/>
                <w:sz w:val="20"/>
                <w:szCs w:val="20"/>
              </w:rPr>
              <w:t xml:space="preserve"> If more than one new BSR table are introduced, all of them have the same </w:t>
            </w:r>
            <w:r>
              <w:rPr>
                <w:b/>
                <w:sz w:val="20"/>
                <w:szCs w:val="20"/>
                <w:highlight w:val="yellow"/>
              </w:rPr>
              <w:t>size BS field. FFS on the exact size</w:t>
            </w:r>
            <w:r>
              <w:rPr>
                <w:b/>
                <w:sz w:val="20"/>
                <w:szCs w:val="20"/>
              </w:rPr>
              <w:t>.</w:t>
            </w:r>
          </w:p>
          <w:p w14:paraId="1101B592" w14:textId="77777777" w:rsidR="006E6CCD" w:rsidRDefault="006E6CCD">
            <w:pPr>
              <w:widowControl w:val="0"/>
              <w:spacing w:before="60" w:line="240" w:lineRule="auto"/>
              <w:rPr>
                <w:b/>
                <w:sz w:val="20"/>
                <w:szCs w:val="20"/>
              </w:rPr>
            </w:pPr>
          </w:p>
          <w:p w14:paraId="099F579E" w14:textId="77777777" w:rsidR="006E6CCD"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rPr>
              <w:t xml:space="preserve">Deprioritize Option 2c (static + dynamic BSR tables) and Option 2d (reference table + scaling factor). </w:t>
            </w:r>
          </w:p>
          <w:p w14:paraId="40F10E02" w14:textId="77777777" w:rsidR="006E6CCD" w:rsidRDefault="00000000">
            <w:pPr>
              <w:widowControl w:val="0"/>
              <w:spacing w:before="60" w:line="240" w:lineRule="auto"/>
              <w:rPr>
                <w:b/>
                <w:sz w:val="20"/>
                <w:szCs w:val="20"/>
                <w:highlight w:val="yellow"/>
              </w:rPr>
            </w:pPr>
            <w:r>
              <w:lastRenderedPageBreak/>
              <w:t>Þ</w:t>
            </w:r>
            <w:r>
              <w:rPr>
                <w:rFonts w:ascii="Times New Roman" w:eastAsia="Times New Roman" w:hAnsi="Times New Roman" w:cs="Times New Roman"/>
                <w:sz w:val="14"/>
                <w:szCs w:val="14"/>
              </w:rPr>
              <w:tab/>
            </w:r>
            <w:r>
              <w:rPr>
                <w:b/>
                <w:sz w:val="20"/>
                <w:szCs w:val="20"/>
              </w:rPr>
              <w:t xml:space="preserve">Have more discussions on Option 2a (static BSR tables) vs Option 2b (RRC configured BSR tables). </w:t>
            </w:r>
            <w:r>
              <w:rPr>
                <w:b/>
                <w:sz w:val="20"/>
                <w:szCs w:val="20"/>
                <w:highlight w:val="yellow"/>
              </w:rPr>
              <w:t>In next meeting, companies should explain how BSR table(s) are created and how many tables would be needed, and how the MAC CE structure will look like. Should also explain what is the expected quantization error.</w:t>
            </w:r>
          </w:p>
          <w:p w14:paraId="7AB332BF" w14:textId="77777777" w:rsidR="006E6CCD" w:rsidRDefault="006E6CCD">
            <w:pPr>
              <w:widowControl w:val="0"/>
              <w:pBdr>
                <w:top w:val="nil"/>
                <w:left w:val="nil"/>
                <w:bottom w:val="nil"/>
                <w:right w:val="nil"/>
                <w:between w:val="nil"/>
              </w:pBdr>
              <w:spacing w:line="240" w:lineRule="auto"/>
              <w:rPr>
                <w:b/>
                <w:sz w:val="20"/>
                <w:szCs w:val="20"/>
              </w:rPr>
            </w:pPr>
          </w:p>
        </w:tc>
      </w:tr>
    </w:tbl>
    <w:p w14:paraId="176CF81F" w14:textId="77777777" w:rsidR="006E6CCD" w:rsidRDefault="006E6CCD">
      <w:pPr>
        <w:tabs>
          <w:tab w:val="center" w:pos="4536"/>
          <w:tab w:val="right" w:pos="9072"/>
          <w:tab w:val="left" w:pos="1800"/>
        </w:tabs>
        <w:spacing w:line="240" w:lineRule="auto"/>
        <w:rPr>
          <w:sz w:val="20"/>
          <w:szCs w:val="20"/>
        </w:rPr>
      </w:pPr>
    </w:p>
    <w:p w14:paraId="4A7787BD" w14:textId="77777777" w:rsidR="006E6CCD" w:rsidRDefault="00000000">
      <w:pPr>
        <w:tabs>
          <w:tab w:val="center" w:pos="4536"/>
          <w:tab w:val="right" w:pos="9072"/>
          <w:tab w:val="left" w:pos="1800"/>
        </w:tabs>
        <w:spacing w:line="240" w:lineRule="auto"/>
        <w:rPr>
          <w:sz w:val="20"/>
          <w:szCs w:val="20"/>
        </w:rPr>
      </w:pPr>
      <w:r>
        <w:rPr>
          <w:sz w:val="20"/>
          <w:szCs w:val="20"/>
        </w:rPr>
        <w:t>Specifically, we provide our viewpoints on buffer status report (BSR) tables, and delay information for UL traffic.</w:t>
      </w:r>
    </w:p>
    <w:p w14:paraId="669F4CA0" w14:textId="77777777" w:rsidR="006E6CCD" w:rsidRDefault="00000000">
      <w:pPr>
        <w:pStyle w:val="Heading1"/>
        <w:numPr>
          <w:ilvl w:val="0"/>
          <w:numId w:val="1"/>
        </w:numPr>
        <w:spacing w:after="0"/>
      </w:pPr>
      <w:bookmarkStart w:id="2" w:name="_heading=h.3znysh7" w:colFirst="0" w:colLast="0"/>
      <w:bookmarkEnd w:id="2"/>
      <w:r>
        <w:rPr>
          <w:b/>
        </w:rPr>
        <w:t>Discussion</w:t>
      </w:r>
    </w:p>
    <w:p w14:paraId="084B96B5" w14:textId="77777777" w:rsidR="006E6CCD" w:rsidRDefault="00000000">
      <w:pPr>
        <w:pStyle w:val="Heading2"/>
        <w:numPr>
          <w:ilvl w:val="1"/>
          <w:numId w:val="1"/>
        </w:numPr>
        <w:spacing w:after="0"/>
      </w:pPr>
      <w:bookmarkStart w:id="3" w:name="_heading=h.a4eddzq1gvvh" w:colFirst="0" w:colLast="0"/>
      <w:bookmarkEnd w:id="3"/>
      <w:r>
        <w:t>New BSR tables</w:t>
      </w:r>
    </w:p>
    <w:p w14:paraId="56E1458A" w14:textId="77777777" w:rsidR="006E6CCD" w:rsidRDefault="006E6CCD"/>
    <w:p w14:paraId="1B35AA48" w14:textId="77777777" w:rsidR="006E6CCD" w:rsidRDefault="00000000">
      <w:r>
        <w:t>One of the major purposes of BSR enhancement is to reduce the quantization errors in the high data rate region which is expected to be an important operating region for XR services. The quantization errors will depend on both distribution functions and the stepsize.  Given a fixed MAC CE format/size, for a given quantization error target, there is a tradeoff between the BSR table ranges and number of code points for the BSR. In order the to improve the quantization errors, as captured in one of the agreements as RAN#122</w:t>
      </w:r>
    </w:p>
    <w:p w14:paraId="74D25C40" w14:textId="77777777" w:rsidR="006E6CCD" w:rsidRDefault="006E6CCD"/>
    <w:tbl>
      <w:tblPr>
        <w:tblStyle w:val="a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E6CCD" w14:paraId="70D5CF0F" w14:textId="77777777">
        <w:tc>
          <w:tcPr>
            <w:tcW w:w="9360" w:type="dxa"/>
            <w:shd w:val="clear" w:color="auto" w:fill="auto"/>
            <w:tcMar>
              <w:top w:w="100" w:type="dxa"/>
              <w:left w:w="100" w:type="dxa"/>
              <w:bottom w:w="100" w:type="dxa"/>
              <w:right w:w="100" w:type="dxa"/>
            </w:tcMar>
          </w:tcPr>
          <w:p w14:paraId="452A0A1F" w14:textId="77777777" w:rsidR="006E6CCD" w:rsidRDefault="00000000">
            <w:pPr>
              <w:widowControl w:val="0"/>
              <w:spacing w:before="60" w:line="240" w:lineRule="auto"/>
              <w:rPr>
                <w:b/>
                <w:sz w:val="20"/>
                <w:szCs w:val="20"/>
              </w:rPr>
            </w:pPr>
            <w:r>
              <w:rPr>
                <w:b/>
                <w:sz w:val="20"/>
                <w:szCs w:val="20"/>
              </w:rPr>
              <w:t xml:space="preserve">Design/configuration for new BSR table(s) should include support for narrower ranges </w:t>
            </w:r>
            <w:r>
              <w:rPr>
                <w:b/>
                <w:sz w:val="20"/>
                <w:szCs w:val="20"/>
                <w:highlight w:val="yellow"/>
              </w:rPr>
              <w:t>(i.e. finer granularity)</w:t>
            </w:r>
            <w:r>
              <w:rPr>
                <w:b/>
                <w:sz w:val="20"/>
                <w:szCs w:val="20"/>
              </w:rPr>
              <w:t xml:space="preserve"> than the legacy. Details can be discussed after an agreement on how UE obtains new BSR table(s)</w:t>
            </w:r>
          </w:p>
          <w:p w14:paraId="78D31F4D" w14:textId="77777777" w:rsidR="006E6CCD" w:rsidRDefault="006E6CCD">
            <w:pPr>
              <w:widowControl w:val="0"/>
              <w:spacing w:before="60" w:line="240" w:lineRule="auto"/>
              <w:rPr>
                <w:b/>
                <w:sz w:val="20"/>
                <w:szCs w:val="20"/>
              </w:rPr>
            </w:pPr>
          </w:p>
          <w:p w14:paraId="5664B738" w14:textId="77777777" w:rsidR="006E6CCD" w:rsidRDefault="00000000">
            <w:pPr>
              <w:widowControl w:val="0"/>
              <w:spacing w:before="60" w:line="240" w:lineRule="auto"/>
              <w:rPr>
                <w:b/>
                <w:sz w:val="20"/>
                <w:szCs w:val="20"/>
              </w:rPr>
            </w:pPr>
            <w:r>
              <w:t>Þ</w:t>
            </w:r>
            <w:r>
              <w:rPr>
                <w:b/>
                <w:sz w:val="20"/>
                <w:szCs w:val="20"/>
                <w:highlight w:val="yellow"/>
              </w:rPr>
              <w:t>As working assumption (depending on how we create the new BSR table(s) and the MAC CE format),</w:t>
            </w:r>
            <w:r>
              <w:rPr>
                <w:b/>
                <w:sz w:val="20"/>
                <w:szCs w:val="20"/>
              </w:rPr>
              <w:t xml:space="preserve"> If more than one new BSR table are introduced, all of them have the same </w:t>
            </w:r>
            <w:r>
              <w:rPr>
                <w:b/>
                <w:sz w:val="20"/>
                <w:szCs w:val="20"/>
                <w:highlight w:val="yellow"/>
              </w:rPr>
              <w:t>size BS field. FFS on the exact size</w:t>
            </w:r>
            <w:r>
              <w:rPr>
                <w:b/>
                <w:sz w:val="20"/>
                <w:szCs w:val="20"/>
              </w:rPr>
              <w:t>.</w:t>
            </w:r>
          </w:p>
        </w:tc>
      </w:tr>
    </w:tbl>
    <w:p w14:paraId="55756BFB" w14:textId="77777777" w:rsidR="006E6CCD" w:rsidRDefault="006E6CCD"/>
    <w:p w14:paraId="14BC6E01" w14:textId="77777777" w:rsidR="006E6CCD" w:rsidRDefault="00000000">
      <w:r>
        <w:t xml:space="preserve">Furthermore, depending on the operating range for a particular XR services, multiple narrow BSR tables will be needed. </w:t>
      </w:r>
    </w:p>
    <w:p w14:paraId="1BD4CC78" w14:textId="77777777" w:rsidR="006E6CCD" w:rsidRDefault="006E6CCD"/>
    <w:p w14:paraId="4DB4E299" w14:textId="77777777" w:rsidR="006E6CCD" w:rsidRDefault="00000000">
      <w:pPr>
        <w:rPr>
          <w:b/>
        </w:rPr>
      </w:pPr>
      <w:r>
        <w:rPr>
          <w:b/>
        </w:rPr>
        <w:t xml:space="preserve">Observation 1: </w:t>
      </w:r>
    </w:p>
    <w:p w14:paraId="2F65DA9B" w14:textId="77777777" w:rsidR="006E6CCD" w:rsidRDefault="006E6CCD">
      <w:pPr>
        <w:rPr>
          <w:b/>
        </w:rPr>
      </w:pPr>
    </w:p>
    <w:p w14:paraId="718029AC" w14:textId="77777777" w:rsidR="006E6CCD" w:rsidRDefault="00000000">
      <w:pPr>
        <w:ind w:left="720"/>
      </w:pPr>
      <w:r>
        <w:rPr>
          <w:b/>
        </w:rPr>
        <w:t>The quantization errors depend on both distribution function and number of code points (stepsize). Or in other words, both distribution function used and the number of code points will depend on the target quantization errors.</w:t>
      </w:r>
    </w:p>
    <w:p w14:paraId="5CCBA29E" w14:textId="77777777" w:rsidR="006E6CCD" w:rsidRDefault="006E6CCD"/>
    <w:p w14:paraId="0B2A8069" w14:textId="77777777" w:rsidR="006E6CCD" w:rsidRDefault="00000000">
      <w:pPr>
        <w:rPr>
          <w:b/>
        </w:rPr>
      </w:pPr>
      <w:r>
        <w:rPr>
          <w:b/>
        </w:rPr>
        <w:t>Proposal 1</w:t>
      </w:r>
    </w:p>
    <w:p w14:paraId="788CFD08" w14:textId="77777777" w:rsidR="006E6CCD" w:rsidRDefault="006E6CCD">
      <w:pPr>
        <w:rPr>
          <w:b/>
        </w:rPr>
      </w:pPr>
    </w:p>
    <w:p w14:paraId="53D40149" w14:textId="77777777" w:rsidR="006E6CCD" w:rsidRDefault="00000000">
      <w:pPr>
        <w:ind w:left="720"/>
        <w:rPr>
          <w:b/>
        </w:rPr>
      </w:pPr>
      <w:r>
        <w:rPr>
          <w:b/>
        </w:rPr>
        <w:t>RAN2 to discuss the target improvements in the quantization errors.</w:t>
      </w:r>
    </w:p>
    <w:p w14:paraId="07421E39" w14:textId="77777777" w:rsidR="006E6CCD" w:rsidRDefault="006E6CCD"/>
    <w:p w14:paraId="0E8E15E0" w14:textId="77777777" w:rsidR="006E6CCD" w:rsidRDefault="00000000">
      <w:pPr>
        <w:rPr>
          <w:b/>
        </w:rPr>
      </w:pPr>
      <w:r>
        <w:rPr>
          <w:b/>
        </w:rPr>
        <w:t>Observation 2:</w:t>
      </w:r>
    </w:p>
    <w:p w14:paraId="7BE9E972" w14:textId="77777777" w:rsidR="006E6CCD" w:rsidRDefault="006E6CCD">
      <w:pPr>
        <w:rPr>
          <w:b/>
        </w:rPr>
      </w:pPr>
    </w:p>
    <w:p w14:paraId="57ADA7A9" w14:textId="77777777" w:rsidR="006E6CCD" w:rsidRDefault="00000000">
      <w:pPr>
        <w:ind w:left="720"/>
        <w:rPr>
          <w:b/>
        </w:rPr>
      </w:pPr>
      <w:r>
        <w:rPr>
          <w:b/>
        </w:rPr>
        <w:lastRenderedPageBreak/>
        <w:t>For a given BSR format/ BS size and distribution, there is a tradeoff between the quantization errors and BSR table ranges, resulting in different numbers of new BSR tables.</w:t>
      </w:r>
    </w:p>
    <w:p w14:paraId="3C05D1F1" w14:textId="77777777" w:rsidR="006E6CCD" w:rsidRDefault="006E6CCD">
      <w:pPr>
        <w:rPr>
          <w:b/>
        </w:rPr>
      </w:pPr>
    </w:p>
    <w:p w14:paraId="4653D255" w14:textId="77777777" w:rsidR="006E6CCD" w:rsidRDefault="00000000">
      <w:pPr>
        <w:rPr>
          <w:b/>
        </w:rPr>
      </w:pPr>
      <w:r>
        <w:rPr>
          <w:b/>
        </w:rPr>
        <w:t>Proposal 2:</w:t>
      </w:r>
    </w:p>
    <w:p w14:paraId="18B8E12C" w14:textId="77777777" w:rsidR="006E6CCD" w:rsidRDefault="006E6CCD"/>
    <w:p w14:paraId="07A303BE" w14:textId="77777777" w:rsidR="006E6CCD" w:rsidRDefault="00000000">
      <w:pPr>
        <w:ind w:left="720"/>
      </w:pPr>
      <w:r>
        <w:rPr>
          <w:b/>
        </w:rPr>
        <w:t>RAN2 to discuss the BSR table ranges vs number of BSR tables in terms of signaling complexity</w:t>
      </w:r>
    </w:p>
    <w:p w14:paraId="13D350B1" w14:textId="77777777" w:rsidR="006E6CCD" w:rsidRDefault="006E6CCD"/>
    <w:p w14:paraId="2CCB4069" w14:textId="77777777" w:rsidR="006E6CCD" w:rsidRDefault="006E6CCD"/>
    <w:p w14:paraId="0C72D922" w14:textId="77777777" w:rsidR="006E6CCD" w:rsidRDefault="00000000">
      <w:pPr>
        <w:pStyle w:val="Heading2"/>
        <w:numPr>
          <w:ilvl w:val="1"/>
          <w:numId w:val="1"/>
        </w:numPr>
      </w:pPr>
      <w:bookmarkStart w:id="4" w:name="_heading=h.g6e1gkwl2edt" w:colFirst="0" w:colLast="0"/>
      <w:bookmarkEnd w:id="4"/>
      <w:r>
        <w:t xml:space="preserve">Delay Information </w:t>
      </w:r>
    </w:p>
    <w:p w14:paraId="2D00B0CA" w14:textId="77777777" w:rsidR="006E6CCD" w:rsidRDefault="00000000">
      <w:pPr>
        <w:spacing w:after="180"/>
      </w:pPr>
      <w:r>
        <w:rPr>
          <w:rFonts w:ascii="Times New Roman" w:eastAsia="Times New Roman" w:hAnsi="Times New Roman" w:cs="Times New Roman"/>
          <w:sz w:val="20"/>
          <w:szCs w:val="20"/>
        </w:rPr>
        <w:t>In RAN</w:t>
      </w:r>
      <w:r>
        <w:rPr>
          <w:rFonts w:ascii="Times New Roman" w:eastAsia="Times New Roman" w:hAnsi="Times New Roman" w:cs="Times New Roman"/>
          <w:b/>
          <w:sz w:val="20"/>
          <w:szCs w:val="20"/>
        </w:rPr>
        <w:t>2#120</w:t>
      </w:r>
      <w:r>
        <w:rPr>
          <w:rFonts w:ascii="Times New Roman" w:eastAsia="Times New Roman" w:hAnsi="Times New Roman" w:cs="Times New Roman"/>
          <w:sz w:val="20"/>
          <w:szCs w:val="20"/>
        </w:rPr>
        <w:t xml:space="preserve"> meeting, it was agreed:</w:t>
      </w:r>
    </w:p>
    <w:tbl>
      <w:tblPr>
        <w:tblStyle w:val="a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E6CCD" w14:paraId="04D1720B" w14:textId="77777777">
        <w:tc>
          <w:tcPr>
            <w:tcW w:w="9360" w:type="dxa"/>
            <w:shd w:val="clear" w:color="auto" w:fill="auto"/>
            <w:tcMar>
              <w:top w:w="100" w:type="dxa"/>
              <w:left w:w="100" w:type="dxa"/>
              <w:bottom w:w="100" w:type="dxa"/>
              <w:right w:w="100" w:type="dxa"/>
            </w:tcMar>
          </w:tcPr>
          <w:p w14:paraId="0E8AFB25" w14:textId="77777777" w:rsidR="006E6CCD" w:rsidRDefault="00000000">
            <w:pPr>
              <w:spacing w:after="180"/>
              <w:ind w:left="840" w:hanging="280"/>
            </w:pPr>
            <w:r>
              <w:rPr>
                <w:rFonts w:ascii="Times New Roman" w:eastAsia="Times New Roman" w:hAnsi="Times New Roman" w:cs="Times New Roman"/>
                <w:sz w:val="20"/>
                <w:szCs w:val="20"/>
              </w:rPr>
              <w:t xml:space="preserve">  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tc>
      </w:tr>
    </w:tbl>
    <w:p w14:paraId="7210BAED" w14:textId="77777777" w:rsidR="006E6CCD" w:rsidRDefault="00000000">
      <w:r>
        <w:t>‘</w:t>
      </w:r>
    </w:p>
    <w:p w14:paraId="06E01960" w14:textId="77777777" w:rsidR="006E6CCD" w:rsidRDefault="00000000">
      <w:pPr>
        <w:rPr>
          <w:sz w:val="20"/>
          <w:szCs w:val="20"/>
        </w:rPr>
      </w:pPr>
      <w:r>
        <w:rPr>
          <w:sz w:val="20"/>
          <w:szCs w:val="20"/>
        </w:rPr>
        <w:t xml:space="preserve">To ensure optimal performance of XR services, it's crucial to enhance delay-awareness for UL traffic. Providing delay information such as remaining time can aid in achieving this goal. It's worth noting that UL traffic can have varying characteristics based on the types of applications/services. Periodic traffic, such as video, avatar, audio, and pose/control information, require timely delivery to maintain the immersive experience. On the other hand, aperiodic traffic like user inputs may not have strict timing requirements. </w:t>
      </w:r>
    </w:p>
    <w:p w14:paraId="5E3A3457" w14:textId="77777777" w:rsidR="006E6CCD" w:rsidRDefault="006E6CCD">
      <w:pPr>
        <w:rPr>
          <w:sz w:val="20"/>
          <w:szCs w:val="20"/>
        </w:rPr>
      </w:pPr>
    </w:p>
    <w:p w14:paraId="79F6DDD8" w14:textId="77777777" w:rsidR="006E6CCD" w:rsidRDefault="00000000">
      <w:pPr>
        <w:rPr>
          <w:b/>
          <w:sz w:val="20"/>
          <w:szCs w:val="20"/>
        </w:rPr>
      </w:pPr>
      <w:r>
        <w:rPr>
          <w:b/>
          <w:sz w:val="20"/>
          <w:szCs w:val="20"/>
        </w:rPr>
        <w:t>Observation 2:</w:t>
      </w:r>
    </w:p>
    <w:p w14:paraId="0EA9AB6C" w14:textId="77777777" w:rsidR="006E6CCD" w:rsidRDefault="00000000">
      <w:pPr>
        <w:ind w:left="720"/>
        <w:rPr>
          <w:b/>
          <w:sz w:val="20"/>
          <w:szCs w:val="20"/>
        </w:rPr>
      </w:pPr>
      <w:r>
        <w:rPr>
          <w:b/>
          <w:sz w:val="20"/>
          <w:szCs w:val="20"/>
        </w:rPr>
        <w:t>UL XR traffic can have varying characteristics based on the types of applications/services. Periodic traffic such as video/audio/avatar or pose control information require timely delivery while others such as user inputs may not have strict timing requirements.</w:t>
      </w:r>
    </w:p>
    <w:p w14:paraId="1E21FCC4" w14:textId="77777777" w:rsidR="006E6CCD" w:rsidRDefault="006E6CCD">
      <w:pPr>
        <w:rPr>
          <w:b/>
          <w:sz w:val="20"/>
          <w:szCs w:val="20"/>
        </w:rPr>
      </w:pPr>
    </w:p>
    <w:p w14:paraId="18EABD54" w14:textId="77777777" w:rsidR="006E6CCD" w:rsidRDefault="00000000">
      <w:pPr>
        <w:rPr>
          <w:sz w:val="20"/>
          <w:szCs w:val="20"/>
        </w:rPr>
      </w:pPr>
      <w:r>
        <w:rPr>
          <w:sz w:val="20"/>
          <w:szCs w:val="20"/>
        </w:rPr>
        <w:t xml:space="preserve">Hence, to avoid the unnecessary signaling overhead, it’s desirable to only report the timing information for the traffic or QoS flow with strict timing requirements. </w:t>
      </w:r>
    </w:p>
    <w:p w14:paraId="006DF5FE" w14:textId="77777777" w:rsidR="006E6CCD" w:rsidRDefault="006E6CCD">
      <w:pPr>
        <w:rPr>
          <w:sz w:val="20"/>
          <w:szCs w:val="20"/>
        </w:rPr>
      </w:pPr>
    </w:p>
    <w:p w14:paraId="1582C6C6" w14:textId="77777777" w:rsidR="006E6CCD" w:rsidRDefault="00000000">
      <w:pPr>
        <w:rPr>
          <w:b/>
          <w:sz w:val="20"/>
          <w:szCs w:val="20"/>
        </w:rPr>
      </w:pPr>
      <w:r>
        <w:rPr>
          <w:b/>
          <w:sz w:val="20"/>
          <w:szCs w:val="20"/>
        </w:rPr>
        <w:t xml:space="preserve">Proposal 2: </w:t>
      </w:r>
    </w:p>
    <w:p w14:paraId="551067EE" w14:textId="77777777" w:rsidR="006E6CCD" w:rsidRDefault="00000000">
      <w:pPr>
        <w:ind w:left="720"/>
        <w:rPr>
          <w:b/>
          <w:sz w:val="20"/>
          <w:szCs w:val="20"/>
        </w:rPr>
      </w:pPr>
      <w:r>
        <w:rPr>
          <w:b/>
          <w:sz w:val="20"/>
          <w:szCs w:val="20"/>
        </w:rPr>
        <w:t>UE only reports the delay status for QoS flows with stringent timing requirements.</w:t>
      </w:r>
    </w:p>
    <w:p w14:paraId="716FFE2C" w14:textId="77777777" w:rsidR="006E6CCD" w:rsidRDefault="006E6CCD">
      <w:pPr>
        <w:rPr>
          <w:b/>
          <w:sz w:val="20"/>
          <w:szCs w:val="20"/>
        </w:rPr>
      </w:pPr>
    </w:p>
    <w:p w14:paraId="7076C4EF" w14:textId="77777777" w:rsidR="006E6CCD" w:rsidRDefault="00000000">
      <w:pPr>
        <w:rPr>
          <w:sz w:val="20"/>
          <w:szCs w:val="20"/>
        </w:rPr>
      </w:pPr>
      <w:r>
        <w:rPr>
          <w:sz w:val="20"/>
          <w:szCs w:val="20"/>
        </w:rPr>
        <w:t xml:space="preserve">For periodic XR traffic, it can be noted that there is a fixed timing relationship between subsequent PDU Sets or Data Burst. In fact the delay information based on the remaining time would be highly dependent on the first/last PDUs of a PDU Set/Data Burst. As a result, while it is not desirable and may not be necessary to report the delay information associated with each PDU Sets/Data Burst, </w:t>
      </w:r>
    </w:p>
    <w:p w14:paraId="176DF4D8" w14:textId="77777777" w:rsidR="006E6CCD" w:rsidRDefault="006E6CCD">
      <w:pPr>
        <w:rPr>
          <w:sz w:val="20"/>
          <w:szCs w:val="20"/>
        </w:rPr>
      </w:pPr>
    </w:p>
    <w:p w14:paraId="7056CB39" w14:textId="77777777" w:rsidR="006E6CCD" w:rsidRDefault="00000000">
      <w:pPr>
        <w:rPr>
          <w:b/>
          <w:sz w:val="20"/>
          <w:szCs w:val="20"/>
        </w:rPr>
      </w:pPr>
      <w:r>
        <w:rPr>
          <w:b/>
          <w:sz w:val="20"/>
          <w:szCs w:val="20"/>
        </w:rPr>
        <w:t xml:space="preserve">Observation 3: </w:t>
      </w:r>
    </w:p>
    <w:p w14:paraId="4CBF31DB" w14:textId="77777777" w:rsidR="006E6CCD" w:rsidRDefault="00000000">
      <w:pPr>
        <w:ind w:left="720"/>
        <w:rPr>
          <w:b/>
          <w:sz w:val="20"/>
          <w:szCs w:val="20"/>
        </w:rPr>
      </w:pPr>
      <w:r>
        <w:rPr>
          <w:b/>
          <w:sz w:val="20"/>
          <w:szCs w:val="20"/>
        </w:rPr>
        <w:t xml:space="preserve">For periodic XR traffic, it can be noted that there is a fixed timing relationship between subsequent PDU Sets or Data Burst. The delay information based on the remaining time would be highly dependent on the first/last PDUs of a PDU Set/Data Burst. </w:t>
      </w:r>
    </w:p>
    <w:p w14:paraId="5DE88AFA" w14:textId="77777777" w:rsidR="006E6CCD" w:rsidRDefault="006E6CCD">
      <w:pPr>
        <w:ind w:left="720"/>
        <w:rPr>
          <w:b/>
          <w:sz w:val="20"/>
          <w:szCs w:val="20"/>
        </w:rPr>
      </w:pPr>
    </w:p>
    <w:p w14:paraId="3D2892A7" w14:textId="77777777" w:rsidR="006E6CCD" w:rsidRDefault="00000000">
      <w:pPr>
        <w:rPr>
          <w:sz w:val="20"/>
          <w:szCs w:val="20"/>
        </w:rPr>
      </w:pPr>
      <w:r>
        <w:rPr>
          <w:sz w:val="20"/>
          <w:szCs w:val="20"/>
        </w:rPr>
        <w:lastRenderedPageBreak/>
        <w:t xml:space="preserve">Hence, it’s possible to use the fixed timing relationship for periodic traffic to reduce the signaling overhead associated with the delay information. </w:t>
      </w:r>
    </w:p>
    <w:p w14:paraId="588EF7D8" w14:textId="77777777" w:rsidR="006E6CCD" w:rsidRDefault="006E6CCD">
      <w:pPr>
        <w:ind w:left="720"/>
        <w:rPr>
          <w:b/>
          <w:sz w:val="20"/>
          <w:szCs w:val="20"/>
        </w:rPr>
      </w:pPr>
    </w:p>
    <w:p w14:paraId="7FC6F7E0" w14:textId="77777777" w:rsidR="006E6CCD" w:rsidRDefault="00000000">
      <w:pPr>
        <w:rPr>
          <w:b/>
          <w:sz w:val="20"/>
          <w:szCs w:val="20"/>
        </w:rPr>
      </w:pPr>
      <w:r>
        <w:rPr>
          <w:b/>
          <w:sz w:val="20"/>
          <w:szCs w:val="20"/>
        </w:rPr>
        <w:t xml:space="preserve">Proposal 3: </w:t>
      </w:r>
    </w:p>
    <w:p w14:paraId="0F20477C" w14:textId="77777777" w:rsidR="006E6CCD" w:rsidRDefault="00000000">
      <w:pPr>
        <w:numPr>
          <w:ilvl w:val="0"/>
          <w:numId w:val="3"/>
        </w:numPr>
        <w:rPr>
          <w:b/>
          <w:sz w:val="20"/>
          <w:szCs w:val="20"/>
        </w:rPr>
      </w:pPr>
      <w:r>
        <w:rPr>
          <w:b/>
          <w:sz w:val="20"/>
          <w:szCs w:val="20"/>
        </w:rPr>
        <w:t xml:space="preserve">RAN2 to discuss the potential of using the fixed timing relationship for periodic traffic for reducing delay information reporting overhead. </w:t>
      </w:r>
    </w:p>
    <w:p w14:paraId="6463244E" w14:textId="77777777" w:rsidR="006E6CCD" w:rsidRDefault="00000000">
      <w:pPr>
        <w:numPr>
          <w:ilvl w:val="0"/>
          <w:numId w:val="3"/>
        </w:numPr>
        <w:spacing w:before="200"/>
        <w:rPr>
          <w:b/>
          <w:sz w:val="20"/>
          <w:szCs w:val="20"/>
        </w:rPr>
      </w:pPr>
      <w:r>
        <w:rPr>
          <w:b/>
          <w:sz w:val="20"/>
          <w:szCs w:val="20"/>
        </w:rPr>
        <w:t>RAN2 to discuss the specification of UL Data Burst and  End of Data Burst indication in the header of the last PDU of the Data Burst for delay information reporting.</w:t>
      </w:r>
    </w:p>
    <w:p w14:paraId="4A74B062" w14:textId="77777777" w:rsidR="006E6CCD" w:rsidRDefault="006E6CCD">
      <w:pPr>
        <w:rPr>
          <w:b/>
          <w:sz w:val="20"/>
          <w:szCs w:val="20"/>
        </w:rPr>
      </w:pPr>
    </w:p>
    <w:p w14:paraId="799F7697" w14:textId="77777777" w:rsidR="006E6CCD" w:rsidRDefault="00000000">
      <w:pPr>
        <w:pStyle w:val="Heading2"/>
        <w:numPr>
          <w:ilvl w:val="1"/>
          <w:numId w:val="1"/>
        </w:numPr>
      </w:pPr>
      <w:bookmarkStart w:id="5" w:name="_heading=h.luc1cz10tm4k" w:colFirst="0" w:colLast="0"/>
      <w:bookmarkEnd w:id="5"/>
      <w:r>
        <w:t>BSR/DSR Triggering</w:t>
      </w:r>
    </w:p>
    <w:p w14:paraId="75957AA2" w14:textId="77777777" w:rsidR="006E6CCD" w:rsidRDefault="00000000">
      <w:r>
        <w:t>For BSR and DSR triggering, it will depend on the agreements on how the delay information is associated with the BSR and/or PDU Set/Data Burst. Hence, it’s more desirable to discuss after the conclusion of the delay information.</w:t>
      </w:r>
    </w:p>
    <w:p w14:paraId="028E9BC1" w14:textId="77777777" w:rsidR="006E6CCD" w:rsidRDefault="006E6CCD"/>
    <w:p w14:paraId="33F9FB2E" w14:textId="77777777" w:rsidR="006E6CCD" w:rsidRDefault="00000000">
      <w:r>
        <w:rPr>
          <w:b/>
        </w:rPr>
        <w:t>Observation 4:</w:t>
      </w:r>
      <w:r>
        <w:t xml:space="preserve"> </w:t>
      </w:r>
    </w:p>
    <w:p w14:paraId="1825D2CE" w14:textId="77777777" w:rsidR="006E6CCD" w:rsidRDefault="006E6CCD"/>
    <w:p w14:paraId="7E14F110" w14:textId="77777777" w:rsidR="006E6CCD" w:rsidRDefault="00000000">
      <w:pPr>
        <w:ind w:left="720"/>
        <w:rPr>
          <w:b/>
        </w:rPr>
      </w:pPr>
      <w:r>
        <w:rPr>
          <w:b/>
        </w:rPr>
        <w:t xml:space="preserve">For BSR and DSR triggering, it will depend on the agreements on how the delay information is associated with the BSR and/or PDU Set/Data Burst. </w:t>
      </w:r>
    </w:p>
    <w:p w14:paraId="0470F6EA" w14:textId="77777777" w:rsidR="006E6CCD" w:rsidRDefault="006E6CCD"/>
    <w:p w14:paraId="7CBD2B79" w14:textId="77777777" w:rsidR="006E6CCD" w:rsidRDefault="00000000">
      <w:pPr>
        <w:rPr>
          <w:b/>
          <w:sz w:val="20"/>
          <w:szCs w:val="20"/>
        </w:rPr>
      </w:pPr>
      <w:r>
        <w:rPr>
          <w:b/>
          <w:sz w:val="20"/>
          <w:szCs w:val="20"/>
        </w:rPr>
        <w:t>Proposal 4:</w:t>
      </w:r>
    </w:p>
    <w:p w14:paraId="0039B134" w14:textId="77777777" w:rsidR="006E6CCD" w:rsidRDefault="006E6CCD">
      <w:pPr>
        <w:rPr>
          <w:b/>
          <w:sz w:val="20"/>
          <w:szCs w:val="20"/>
        </w:rPr>
      </w:pPr>
    </w:p>
    <w:p w14:paraId="404FCF43" w14:textId="77777777" w:rsidR="006E6CCD" w:rsidRDefault="00000000">
      <w:pPr>
        <w:ind w:left="720"/>
        <w:rPr>
          <w:b/>
          <w:sz w:val="20"/>
          <w:szCs w:val="20"/>
        </w:rPr>
      </w:pPr>
      <w:r>
        <w:rPr>
          <w:b/>
          <w:sz w:val="20"/>
          <w:szCs w:val="20"/>
        </w:rPr>
        <w:t>Defer the discussion of BSR/DSR triggering after the conclusion on the delay information.</w:t>
      </w:r>
    </w:p>
    <w:p w14:paraId="50CF2019" w14:textId="77777777" w:rsidR="006E6CCD" w:rsidRDefault="00000000">
      <w:pPr>
        <w:pStyle w:val="Heading1"/>
        <w:numPr>
          <w:ilvl w:val="0"/>
          <w:numId w:val="1"/>
        </w:numPr>
      </w:pPr>
      <w:bookmarkStart w:id="6" w:name="_heading=h.4d34og8" w:colFirst="0" w:colLast="0"/>
      <w:bookmarkEnd w:id="6"/>
      <w:r>
        <w:t>Conclusion</w:t>
      </w:r>
    </w:p>
    <w:p w14:paraId="350F3061" w14:textId="77777777" w:rsidR="006E6CCD" w:rsidRDefault="00000000">
      <w:pPr>
        <w:rPr>
          <w:b/>
        </w:rPr>
      </w:pPr>
      <w:r>
        <w:rPr>
          <w:b/>
        </w:rPr>
        <w:t xml:space="preserve">Observation 1: </w:t>
      </w:r>
    </w:p>
    <w:p w14:paraId="22BFD627" w14:textId="77777777" w:rsidR="006E6CCD" w:rsidRDefault="006E6CCD">
      <w:pPr>
        <w:rPr>
          <w:b/>
        </w:rPr>
      </w:pPr>
    </w:p>
    <w:p w14:paraId="348752A3" w14:textId="77777777" w:rsidR="006E6CCD" w:rsidRDefault="00000000">
      <w:pPr>
        <w:ind w:left="720"/>
      </w:pPr>
      <w:r>
        <w:rPr>
          <w:b/>
        </w:rPr>
        <w:t>The quantization errors depend on both distribution function and number of code points (stepsize). Or in other words, both distribution function used and the number of code points will depend on the target quantization errors.</w:t>
      </w:r>
    </w:p>
    <w:p w14:paraId="467A0118" w14:textId="77777777" w:rsidR="006E6CCD" w:rsidRDefault="006E6CCD"/>
    <w:p w14:paraId="5188D34E" w14:textId="77777777" w:rsidR="006E6CCD" w:rsidRDefault="00000000">
      <w:pPr>
        <w:rPr>
          <w:b/>
        </w:rPr>
      </w:pPr>
      <w:r>
        <w:rPr>
          <w:b/>
        </w:rPr>
        <w:t>Proposal 1</w:t>
      </w:r>
    </w:p>
    <w:p w14:paraId="091F2C29" w14:textId="77777777" w:rsidR="006E6CCD" w:rsidRDefault="006E6CCD">
      <w:pPr>
        <w:rPr>
          <w:b/>
        </w:rPr>
      </w:pPr>
    </w:p>
    <w:p w14:paraId="0BEDC5B0" w14:textId="77777777" w:rsidR="006E6CCD" w:rsidRDefault="00000000">
      <w:pPr>
        <w:ind w:left="720"/>
        <w:rPr>
          <w:b/>
        </w:rPr>
      </w:pPr>
      <w:r>
        <w:rPr>
          <w:b/>
        </w:rPr>
        <w:t>RAN2 to discuss the target improvements in the quantization errors.</w:t>
      </w:r>
    </w:p>
    <w:p w14:paraId="3BC5AB88" w14:textId="77777777" w:rsidR="006E6CCD" w:rsidRDefault="006E6CCD"/>
    <w:p w14:paraId="29525BE5" w14:textId="77777777" w:rsidR="006E6CCD" w:rsidRDefault="00000000">
      <w:pPr>
        <w:rPr>
          <w:b/>
        </w:rPr>
      </w:pPr>
      <w:r>
        <w:rPr>
          <w:b/>
        </w:rPr>
        <w:t>Observation 2:</w:t>
      </w:r>
    </w:p>
    <w:p w14:paraId="579C31B6" w14:textId="77777777" w:rsidR="006E6CCD" w:rsidRDefault="006E6CCD">
      <w:pPr>
        <w:rPr>
          <w:b/>
        </w:rPr>
      </w:pPr>
    </w:p>
    <w:p w14:paraId="1E2C04F0" w14:textId="77777777" w:rsidR="006E6CCD" w:rsidRDefault="00000000">
      <w:pPr>
        <w:ind w:left="720"/>
        <w:rPr>
          <w:b/>
        </w:rPr>
      </w:pPr>
      <w:r>
        <w:rPr>
          <w:b/>
        </w:rPr>
        <w:t>For a given BSR format/ BS size and distribution, there is a tradeoff between the quantization errors and BSR table ranges, resulting in different numbers of new BSR tables.</w:t>
      </w:r>
    </w:p>
    <w:p w14:paraId="19C61B4B" w14:textId="77777777" w:rsidR="006E6CCD" w:rsidRDefault="006E6CCD">
      <w:pPr>
        <w:rPr>
          <w:b/>
        </w:rPr>
      </w:pPr>
    </w:p>
    <w:p w14:paraId="6011D73F" w14:textId="77777777" w:rsidR="006E6CCD" w:rsidRDefault="00000000">
      <w:pPr>
        <w:rPr>
          <w:b/>
        </w:rPr>
      </w:pPr>
      <w:r>
        <w:rPr>
          <w:b/>
        </w:rPr>
        <w:t>Proposal 2:</w:t>
      </w:r>
    </w:p>
    <w:p w14:paraId="277B8546" w14:textId="77777777" w:rsidR="006E6CCD" w:rsidRDefault="006E6CCD"/>
    <w:p w14:paraId="48B48BCC" w14:textId="77777777" w:rsidR="006E6CCD" w:rsidRDefault="00000000">
      <w:pPr>
        <w:ind w:left="720"/>
        <w:rPr>
          <w:b/>
          <w:sz w:val="20"/>
          <w:szCs w:val="20"/>
        </w:rPr>
      </w:pPr>
      <w:r>
        <w:rPr>
          <w:b/>
        </w:rPr>
        <w:t xml:space="preserve">RAN2 to discuss the BSR table ranges vs number of BSR tables in terms of signaling complexity </w:t>
      </w:r>
    </w:p>
    <w:p w14:paraId="5163E1E2" w14:textId="77777777" w:rsidR="006E6CCD" w:rsidRDefault="006E6CCD">
      <w:pPr>
        <w:spacing w:before="200" w:after="180"/>
        <w:ind w:left="720"/>
        <w:rPr>
          <w:b/>
          <w:sz w:val="20"/>
          <w:szCs w:val="20"/>
        </w:rPr>
      </w:pPr>
    </w:p>
    <w:p w14:paraId="7FDD6D98" w14:textId="77777777" w:rsidR="006E6CCD" w:rsidRDefault="00000000">
      <w:pPr>
        <w:rPr>
          <w:b/>
          <w:sz w:val="20"/>
          <w:szCs w:val="20"/>
        </w:rPr>
      </w:pPr>
      <w:r>
        <w:rPr>
          <w:b/>
          <w:sz w:val="20"/>
          <w:szCs w:val="20"/>
        </w:rPr>
        <w:t xml:space="preserve">Observation 3: </w:t>
      </w:r>
    </w:p>
    <w:p w14:paraId="6CC25FE5" w14:textId="77777777" w:rsidR="006E6CCD" w:rsidRDefault="00000000">
      <w:pPr>
        <w:ind w:left="720"/>
        <w:rPr>
          <w:b/>
          <w:sz w:val="20"/>
          <w:szCs w:val="20"/>
        </w:rPr>
      </w:pPr>
      <w:r>
        <w:rPr>
          <w:b/>
          <w:sz w:val="20"/>
          <w:szCs w:val="20"/>
        </w:rPr>
        <w:t xml:space="preserve">For periodic XR traffic, it can be noted that there is a fixed timing relationship between subsequent PDU Sets or Data Burst. The delay information based on the remaining time would be highly dependent on the first/last PDUs of a PDU Set/Data Burst. </w:t>
      </w:r>
    </w:p>
    <w:p w14:paraId="77E5C1CF" w14:textId="77777777" w:rsidR="006E6CCD" w:rsidRDefault="006E6CCD">
      <w:pPr>
        <w:ind w:left="720"/>
        <w:rPr>
          <w:b/>
          <w:sz w:val="20"/>
          <w:szCs w:val="20"/>
        </w:rPr>
      </w:pPr>
    </w:p>
    <w:p w14:paraId="44491883" w14:textId="77777777" w:rsidR="006E6CCD" w:rsidRDefault="00000000">
      <w:pPr>
        <w:rPr>
          <w:b/>
          <w:sz w:val="20"/>
          <w:szCs w:val="20"/>
        </w:rPr>
      </w:pPr>
      <w:r>
        <w:rPr>
          <w:b/>
          <w:sz w:val="20"/>
          <w:szCs w:val="20"/>
        </w:rPr>
        <w:t xml:space="preserve">Proposal 3: </w:t>
      </w:r>
    </w:p>
    <w:p w14:paraId="433E2C3C" w14:textId="77777777" w:rsidR="006E6CCD" w:rsidRDefault="00000000">
      <w:pPr>
        <w:numPr>
          <w:ilvl w:val="0"/>
          <w:numId w:val="3"/>
        </w:numPr>
        <w:rPr>
          <w:b/>
          <w:sz w:val="20"/>
          <w:szCs w:val="20"/>
        </w:rPr>
      </w:pPr>
      <w:r>
        <w:rPr>
          <w:b/>
          <w:sz w:val="20"/>
          <w:szCs w:val="20"/>
        </w:rPr>
        <w:t xml:space="preserve">RAN2 to discuss the potential of using the fixed timing relationship for periodic traffic for reducing delay information reporting overhead. </w:t>
      </w:r>
    </w:p>
    <w:p w14:paraId="4333E10C" w14:textId="77777777" w:rsidR="006E6CCD" w:rsidRDefault="00000000">
      <w:pPr>
        <w:numPr>
          <w:ilvl w:val="0"/>
          <w:numId w:val="3"/>
        </w:numPr>
        <w:spacing w:before="200"/>
        <w:rPr>
          <w:b/>
          <w:sz w:val="20"/>
          <w:szCs w:val="20"/>
        </w:rPr>
      </w:pPr>
      <w:r>
        <w:rPr>
          <w:b/>
          <w:sz w:val="20"/>
          <w:szCs w:val="20"/>
        </w:rPr>
        <w:t>RAN2 to discuss the specification of UL Data Burst and End of Data Burst indication in the header of the last PDU of the Data Burst for delay information reporting.</w:t>
      </w:r>
    </w:p>
    <w:p w14:paraId="384D6EBD" w14:textId="77777777" w:rsidR="006E6CCD" w:rsidRDefault="006E6CCD">
      <w:pPr>
        <w:spacing w:before="200"/>
        <w:rPr>
          <w:b/>
          <w:sz w:val="20"/>
          <w:szCs w:val="20"/>
        </w:rPr>
      </w:pPr>
    </w:p>
    <w:p w14:paraId="0D9E1949" w14:textId="77777777" w:rsidR="006E6CCD" w:rsidRDefault="00000000">
      <w:pPr>
        <w:rPr>
          <w:sz w:val="20"/>
          <w:szCs w:val="20"/>
        </w:rPr>
      </w:pPr>
      <w:r>
        <w:rPr>
          <w:b/>
          <w:sz w:val="20"/>
          <w:szCs w:val="20"/>
        </w:rPr>
        <w:t>Observation 4:</w:t>
      </w:r>
      <w:r>
        <w:rPr>
          <w:sz w:val="20"/>
          <w:szCs w:val="20"/>
        </w:rPr>
        <w:t xml:space="preserve"> </w:t>
      </w:r>
    </w:p>
    <w:p w14:paraId="053CCA15" w14:textId="77777777" w:rsidR="006E6CCD" w:rsidRDefault="006E6CCD"/>
    <w:p w14:paraId="082142D3" w14:textId="77777777" w:rsidR="006E6CCD" w:rsidRDefault="00000000">
      <w:pPr>
        <w:ind w:left="720"/>
        <w:rPr>
          <w:b/>
        </w:rPr>
      </w:pPr>
      <w:r>
        <w:rPr>
          <w:b/>
        </w:rPr>
        <w:t xml:space="preserve">For BSR and DSR triggering, it will depend on the agreements on how the delay information is associated with the BSR and/or PDU Set/Data Burst. </w:t>
      </w:r>
    </w:p>
    <w:p w14:paraId="7F0D5F28" w14:textId="77777777" w:rsidR="006E6CCD" w:rsidRDefault="006E6CCD"/>
    <w:p w14:paraId="3F087ED0" w14:textId="77777777" w:rsidR="006E6CCD" w:rsidRDefault="00000000">
      <w:pPr>
        <w:rPr>
          <w:b/>
          <w:sz w:val="20"/>
          <w:szCs w:val="20"/>
        </w:rPr>
      </w:pPr>
      <w:r>
        <w:rPr>
          <w:b/>
          <w:sz w:val="20"/>
          <w:szCs w:val="20"/>
        </w:rPr>
        <w:t>Proposal 4:</w:t>
      </w:r>
    </w:p>
    <w:p w14:paraId="43F5C003" w14:textId="77777777" w:rsidR="006E6CCD" w:rsidRDefault="006E6CCD">
      <w:pPr>
        <w:rPr>
          <w:b/>
          <w:sz w:val="20"/>
          <w:szCs w:val="20"/>
        </w:rPr>
      </w:pPr>
    </w:p>
    <w:p w14:paraId="45D413BF" w14:textId="77777777" w:rsidR="006E6CCD" w:rsidRDefault="00000000">
      <w:pPr>
        <w:ind w:left="720"/>
        <w:rPr>
          <w:b/>
          <w:sz w:val="20"/>
          <w:szCs w:val="20"/>
        </w:rPr>
      </w:pPr>
      <w:r>
        <w:rPr>
          <w:b/>
          <w:sz w:val="20"/>
          <w:szCs w:val="20"/>
        </w:rPr>
        <w:t>Defer the discussion of BSR/DSR triggering after the conclusion on the delay information.</w:t>
      </w:r>
    </w:p>
    <w:p w14:paraId="74066C5C" w14:textId="77777777" w:rsidR="006E6CCD" w:rsidRDefault="006E6CCD">
      <w:pPr>
        <w:rPr>
          <w:b/>
          <w:sz w:val="20"/>
          <w:szCs w:val="20"/>
        </w:rPr>
      </w:pPr>
    </w:p>
    <w:p w14:paraId="35780DCB" w14:textId="77777777" w:rsidR="006E6CCD" w:rsidRDefault="00000000">
      <w:pPr>
        <w:pStyle w:val="Heading1"/>
        <w:numPr>
          <w:ilvl w:val="0"/>
          <w:numId w:val="1"/>
        </w:numPr>
        <w:pBdr>
          <w:top w:val="single" w:sz="12" w:space="3" w:color="000000"/>
        </w:pBdr>
        <w:spacing w:before="240" w:after="180" w:line="240" w:lineRule="auto"/>
        <w:rPr>
          <w:sz w:val="30"/>
          <w:szCs w:val="30"/>
        </w:rPr>
      </w:pPr>
      <w:bookmarkStart w:id="7" w:name="_heading=h.2s8eyo1" w:colFirst="0" w:colLast="0"/>
      <w:bookmarkEnd w:id="7"/>
      <w:r>
        <w:rPr>
          <w:b/>
          <w:sz w:val="30"/>
          <w:szCs w:val="30"/>
        </w:rPr>
        <w:t>References</w:t>
      </w:r>
      <w:r>
        <w:rPr>
          <w:b/>
          <w:sz w:val="30"/>
          <w:szCs w:val="30"/>
        </w:rPr>
        <w:tab/>
      </w:r>
      <w:r>
        <w:rPr>
          <w:b/>
          <w:sz w:val="30"/>
          <w:szCs w:val="30"/>
        </w:rPr>
        <w:tab/>
      </w:r>
    </w:p>
    <w:p w14:paraId="59B5EEB3" w14:textId="77777777" w:rsidR="006E6CCD" w:rsidRDefault="00000000">
      <w:pPr>
        <w:numPr>
          <w:ilvl w:val="0"/>
          <w:numId w:val="2"/>
        </w:numPr>
      </w:pPr>
      <w:r>
        <w:t xml:space="preserve"> 3GPP TR 23.700-60 V1.0.0, Study on XR (Extended Reality) and media services (Rel-18)</w:t>
      </w:r>
    </w:p>
    <w:p w14:paraId="33932D95" w14:textId="77777777" w:rsidR="006E6CCD" w:rsidRDefault="00000000">
      <w:pPr>
        <w:numPr>
          <w:ilvl w:val="0"/>
          <w:numId w:val="2"/>
        </w:numPr>
      </w:pPr>
      <w:r>
        <w:t>RP-230786, Rel. 18 XR Enhancements for NR WID, Nokia/Qualcomm</w:t>
      </w:r>
      <w:r>
        <w:rPr>
          <w:sz w:val="16"/>
          <w:szCs w:val="16"/>
          <w:shd w:val="clear" w:color="auto" w:fill="99FF33"/>
        </w:rPr>
        <w:t xml:space="preserve"> </w:t>
      </w:r>
    </w:p>
    <w:p w14:paraId="30487DD4" w14:textId="77777777" w:rsidR="006E6CCD" w:rsidRDefault="00000000">
      <w:pPr>
        <w:numPr>
          <w:ilvl w:val="0"/>
          <w:numId w:val="2"/>
        </w:numPr>
        <w:spacing w:before="60"/>
        <w:rPr>
          <w:sz w:val="16"/>
          <w:szCs w:val="16"/>
        </w:rPr>
      </w:pPr>
      <w:hyperlink r:id="rId6">
        <w:r>
          <w:rPr>
            <w:color w:val="0000FF"/>
            <w:sz w:val="20"/>
            <w:szCs w:val="20"/>
            <w:u w:val="single"/>
          </w:rPr>
          <w:t>R2-2304394</w:t>
        </w:r>
      </w:hyperlink>
      <w:r>
        <w:rPr>
          <w:sz w:val="20"/>
          <w:szCs w:val="20"/>
        </w:rPr>
        <w:t xml:space="preserve">   Report of [AT121bis-e][212][XR] BSR solutions (Qualcomm)      </w:t>
      </w:r>
      <w:r>
        <w:rPr>
          <w:sz w:val="20"/>
          <w:szCs w:val="20"/>
        </w:rPr>
        <w:tab/>
        <w:t xml:space="preserve">Qualcomm    </w:t>
      </w:r>
      <w:r>
        <w:rPr>
          <w:sz w:val="20"/>
          <w:szCs w:val="20"/>
        </w:rPr>
        <w:tab/>
        <w:t xml:space="preserve">discussion    </w:t>
      </w:r>
      <w:r>
        <w:rPr>
          <w:sz w:val="20"/>
          <w:szCs w:val="20"/>
        </w:rPr>
        <w:tab/>
        <w:t>Rel-18  NR_XR_enh-Core</w:t>
      </w:r>
    </w:p>
    <w:p w14:paraId="680FF98B" w14:textId="77777777" w:rsidR="006E6CCD" w:rsidRDefault="006E6CCD">
      <w:pPr>
        <w:ind w:left="720"/>
        <w:rPr>
          <w:sz w:val="16"/>
          <w:szCs w:val="16"/>
        </w:rPr>
      </w:pPr>
    </w:p>
    <w:p w14:paraId="47E526EE" w14:textId="77777777" w:rsidR="006E6CCD" w:rsidRDefault="006E6CCD">
      <w:pPr>
        <w:spacing w:line="288" w:lineRule="auto"/>
        <w:ind w:left="720"/>
        <w:rPr>
          <w:b/>
          <w:i/>
          <w:color w:val="808080"/>
        </w:rPr>
      </w:pPr>
    </w:p>
    <w:p w14:paraId="3D1365B5" w14:textId="77777777" w:rsidR="006E6CCD" w:rsidRDefault="006E6CCD"/>
    <w:p w14:paraId="2C31A427" w14:textId="77777777" w:rsidR="006E6CCD" w:rsidRDefault="006E6CCD">
      <w:pPr>
        <w:spacing w:before="240" w:after="240"/>
      </w:pPr>
    </w:p>
    <w:p w14:paraId="07732604" w14:textId="77777777" w:rsidR="006E6CCD" w:rsidRDefault="006E6CCD">
      <w:pPr>
        <w:spacing w:before="240" w:after="240"/>
      </w:pPr>
    </w:p>
    <w:p w14:paraId="6786239E" w14:textId="77777777" w:rsidR="006E6CCD" w:rsidRDefault="006E6CCD">
      <w:pPr>
        <w:spacing w:after="180"/>
        <w:rPr>
          <w:color w:val="0000FF"/>
          <w:sz w:val="20"/>
          <w:szCs w:val="20"/>
          <w:u w:val="single"/>
        </w:rPr>
      </w:pPr>
    </w:p>
    <w:p w14:paraId="20115F22" w14:textId="77777777" w:rsidR="006E6CCD" w:rsidRDefault="006E6CCD">
      <w:pPr>
        <w:spacing w:after="180"/>
        <w:rPr>
          <w:sz w:val="20"/>
          <w:szCs w:val="20"/>
        </w:rPr>
      </w:pPr>
    </w:p>
    <w:p w14:paraId="557B630F" w14:textId="77777777" w:rsidR="006E6CCD" w:rsidRDefault="006E6CCD">
      <w:pPr>
        <w:rPr>
          <w:color w:val="0000FF"/>
        </w:rPr>
      </w:pPr>
    </w:p>
    <w:p w14:paraId="799409C4" w14:textId="77777777" w:rsidR="006E6CCD" w:rsidRDefault="006E6CCD"/>
    <w:p w14:paraId="3F47A3CE" w14:textId="77777777" w:rsidR="006E6CCD" w:rsidRDefault="006E6CCD"/>
    <w:p w14:paraId="3A63FC90" w14:textId="77777777" w:rsidR="006E6CCD" w:rsidRDefault="006E6CCD"/>
    <w:p w14:paraId="28DCFB47" w14:textId="77777777" w:rsidR="006E6CCD" w:rsidRDefault="006E6CCD"/>
    <w:sectPr w:rsidR="006E6CC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60F41"/>
    <w:multiLevelType w:val="multilevel"/>
    <w:tmpl w:val="B5088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7B44D6"/>
    <w:multiLevelType w:val="multilevel"/>
    <w:tmpl w:val="15B874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9FE779C"/>
    <w:multiLevelType w:val="multilevel"/>
    <w:tmpl w:val="D91229B4"/>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18799335">
    <w:abstractNumId w:val="2"/>
  </w:num>
  <w:num w:numId="2" w16cid:durableId="270825310">
    <w:abstractNumId w:val="1"/>
  </w:num>
  <w:num w:numId="3" w16cid:durableId="1799563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CCD"/>
    <w:rsid w:val="006E6CCD"/>
    <w:rsid w:val="00F96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3CF4DA"/>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2_RL2/TSGR2_121bis-e/Docs/R2-2304394.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NNQczXABvNQM7l23+9t52tsJsog==">AMUW2mVPjknC9KRTdY8jfOuw4gbBTPvQtMdQ2oc0ueKz3LBzIaxx9//XBUveNXc+CCR7stMIPZFPOu1iSLTD4tat45xjK6uQ9lori/ruQG8BJbwkInJ4HsdZu0QDop4fBUpYZ0l/1JepDKb9OSUT+11d+1hM2HoqSTzSEi3L9DZ5ZYCZSBsIy3Rvy6AHkCP1oqK/R/uoHCkOqG6k6vm7JonZ8/e5sXmfJfrBa26mmNmeqAzln0BIISxwAVgZVX6ImhaM7rn0RTsy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1392</Words>
  <Characters>7940</Characters>
  <Application>Microsoft Office Word</Application>
  <DocSecurity>0</DocSecurity>
  <Lines>66</Lines>
  <Paragraphs>18</Paragraphs>
  <ScaleCrop>false</ScaleCrop>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2023-05-12T06:36:00Z</dcterms:created>
  <dcterms:modified xsi:type="dcterms:W3CDTF">2023-05-12T06:36:00Z</dcterms:modified>
</cp:coreProperties>
</file>